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32"/>
        </w:rPr>
      </w:pPr>
      <w:r>
        <w:rPr>
          <w:rFonts w:hint="eastAsia" w:ascii="方正小标宋简体" w:hAnsi="Calibri" w:eastAsia="方正小标宋简体"/>
          <w:sz w:val="44"/>
          <w:szCs w:val="32"/>
        </w:rPr>
        <w:t>不符合规定项目的小知识</w:t>
      </w: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32"/>
        </w:rPr>
      </w:pPr>
    </w:p>
    <w:p>
      <w:pPr>
        <w:overflowPunct w:val="0"/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、性状项下记载外观、臭、味、溶解度以及物理常数等，在一定程度上反映药品的质量特性。中药饮片性状项不符合规定，可能涉及药材种属偏差、炮制工艺有瑕疵、储存不当等情形。</w:t>
      </w:r>
    </w:p>
    <w:p>
      <w:pPr>
        <w:overflowPunct w:val="0"/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二、鉴别项主要用于区分药品特性，其手段包括显微鉴别、光谱鉴别</w:t>
      </w:r>
      <w:r>
        <w:rPr>
          <w:rFonts w:hint="eastAsia" w:eastAsia="仿宋_GB2312"/>
          <w:sz w:val="32"/>
          <w:szCs w:val="32"/>
          <w:lang w:eastAsia="zh-CN"/>
        </w:rPr>
        <w:t>、薄层色谱鉴别等</w:t>
      </w:r>
      <w:r>
        <w:rPr>
          <w:rFonts w:hint="eastAsia" w:eastAsia="仿宋_GB2312"/>
          <w:sz w:val="32"/>
          <w:szCs w:val="32"/>
        </w:rPr>
        <w:t>。</w:t>
      </w:r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、总灰分测定主要是反映药材中无机杂质的含量，判断药材是否因采收、加工、储存等环节受到过多无机杂质污染，能有效控制药材的洁净程度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。</w:t>
      </w:r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四、中药饮片浸出物测定主要是反映药材中某一类成分（如水溶性或醇溶性物质等）的总含量，是衡量中药材质量的指标之一，含量过低可能导致药材有效成分不足，可辅助判断药材质量优劣。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EE"/>
    <w:rsid w:val="00146240"/>
    <w:rsid w:val="0090133E"/>
    <w:rsid w:val="00BB12EE"/>
    <w:rsid w:val="00D67046"/>
    <w:rsid w:val="00ED426B"/>
    <w:rsid w:val="4D1BA2DA"/>
    <w:rsid w:val="5DFB7759"/>
    <w:rsid w:val="7BBF8146"/>
    <w:rsid w:val="DFDAB7E7"/>
    <w:rsid w:val="F7FB8551"/>
    <w:rsid w:val="FF1EA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customStyle="1" w:styleId="7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43</TotalTime>
  <ScaleCrop>false</ScaleCrop>
  <LinksUpToDate>false</LinksUpToDate>
  <CharactersWithSpaces>265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2024-12-27T09:17:00Z</dcterms:created>
  <dc:creator>pc</dc:creator>
  <cp:lastModifiedBy>张祎楠</cp:lastModifiedBy>
  <cp:lastPrinted>2025-03-18T11:18:00Z</cp:lastPrinted>
  <dcterms:modified xsi:type="dcterms:W3CDTF">2025-08-08T15:20:49Z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